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F2" w:rsidRDefault="009336F2" w:rsidP="009336F2">
      <w:pPr>
        <w:spacing w:after="0" w:line="480" w:lineRule="auto"/>
        <w:jc w:val="both"/>
        <w:rPr>
          <w:rFonts w:ascii="Verdana" w:hAnsi="Verdana" w:cs="Times New Roman"/>
          <w:b/>
          <w:sz w:val="24"/>
          <w:szCs w:val="24"/>
        </w:rPr>
      </w:pPr>
      <w:r w:rsidRPr="001B4AF6">
        <w:rPr>
          <w:rFonts w:ascii="Verdana" w:hAnsi="Verdana" w:cs="Times New Roman"/>
          <w:b/>
          <w:sz w:val="24"/>
          <w:szCs w:val="24"/>
        </w:rPr>
        <w:t xml:space="preserve">Força de preensão manual e </w:t>
      </w:r>
      <w:r>
        <w:rPr>
          <w:rFonts w:ascii="Verdana" w:hAnsi="Verdana" w:cs="Times New Roman"/>
          <w:b/>
          <w:sz w:val="24"/>
          <w:szCs w:val="24"/>
        </w:rPr>
        <w:t>funcionalidade</w:t>
      </w:r>
      <w:r w:rsidRPr="001B4AF6">
        <w:rPr>
          <w:rFonts w:ascii="Verdana" w:hAnsi="Verdana" w:cs="Times New Roman"/>
          <w:b/>
          <w:sz w:val="24"/>
          <w:szCs w:val="24"/>
        </w:rPr>
        <w:t xml:space="preserve"> em idosos longevos</w:t>
      </w:r>
      <w:r>
        <w:rPr>
          <w:rFonts w:ascii="Verdana" w:hAnsi="Verdana" w:cs="Times New Roman"/>
          <w:b/>
          <w:sz w:val="24"/>
          <w:szCs w:val="24"/>
        </w:rPr>
        <w:t>: um estudo transversal</w:t>
      </w:r>
    </w:p>
    <w:p w:rsidR="009336F2" w:rsidRPr="009336F2" w:rsidRDefault="009336F2" w:rsidP="009336F2">
      <w:pPr>
        <w:spacing w:after="0" w:line="480" w:lineRule="auto"/>
        <w:jc w:val="both"/>
        <w:rPr>
          <w:rFonts w:ascii="Verdana" w:eastAsia="SimHei" w:hAnsi="Verdana" w:cs="Times New Roman"/>
          <w:sz w:val="20"/>
          <w:szCs w:val="20"/>
        </w:rPr>
      </w:pPr>
      <w:r>
        <w:rPr>
          <w:rFonts w:ascii="Verdana" w:eastAsia="SimHei" w:hAnsi="Verdana" w:cs="Times New Roman"/>
          <w:sz w:val="20"/>
          <w:szCs w:val="20"/>
        </w:rPr>
        <w:t xml:space="preserve">Maria Helena </w:t>
      </w:r>
      <w:proofErr w:type="spellStart"/>
      <w:r>
        <w:rPr>
          <w:rFonts w:ascii="Verdana" w:eastAsia="SimHei" w:hAnsi="Verdana" w:cs="Times New Roman"/>
          <w:sz w:val="20"/>
          <w:szCs w:val="20"/>
        </w:rPr>
        <w:t>Lenardt</w:t>
      </w:r>
      <w:proofErr w:type="spellEnd"/>
      <w:r>
        <w:rPr>
          <w:rStyle w:val="Refdenotaderodap"/>
          <w:rFonts w:ascii="Verdana" w:eastAsia="SimHei" w:hAnsi="Verdana" w:cs="Times New Roman"/>
          <w:sz w:val="20"/>
          <w:szCs w:val="20"/>
        </w:rPr>
        <w:footnoteReference w:id="1"/>
      </w:r>
      <w:r>
        <w:rPr>
          <w:rFonts w:ascii="Verdana" w:eastAsia="SimHei" w:hAnsi="Verdana" w:cs="Times New Roman"/>
          <w:sz w:val="20"/>
          <w:szCs w:val="20"/>
        </w:rPr>
        <w:t xml:space="preserve">, Susanne </w:t>
      </w:r>
      <w:proofErr w:type="spellStart"/>
      <w:r>
        <w:rPr>
          <w:rFonts w:ascii="Verdana" w:eastAsia="SimHei" w:hAnsi="Verdana" w:cs="Times New Roman"/>
          <w:sz w:val="20"/>
          <w:szCs w:val="20"/>
        </w:rPr>
        <w:t>Elero</w:t>
      </w:r>
      <w:proofErr w:type="spellEnd"/>
      <w:r>
        <w:rPr>
          <w:rFonts w:ascii="Verdana" w:eastAsia="SimHei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SimHei" w:hAnsi="Verdana" w:cs="Times New Roman"/>
          <w:sz w:val="20"/>
          <w:szCs w:val="20"/>
        </w:rPr>
        <w:t>Betiolli</w:t>
      </w:r>
      <w:proofErr w:type="spellEnd"/>
      <w:r>
        <w:rPr>
          <w:rStyle w:val="Refdenotaderodap"/>
          <w:rFonts w:ascii="Verdana" w:eastAsia="SimHei" w:hAnsi="Verdana" w:cs="Times New Roman"/>
          <w:sz w:val="20"/>
          <w:szCs w:val="20"/>
        </w:rPr>
        <w:footnoteReference w:id="2"/>
      </w:r>
      <w:r>
        <w:rPr>
          <w:rFonts w:ascii="Verdana" w:eastAsia="SimHei" w:hAnsi="Verdana" w:cs="Times New Roman"/>
          <w:sz w:val="20"/>
          <w:szCs w:val="20"/>
        </w:rPr>
        <w:t xml:space="preserve">, </w:t>
      </w:r>
      <w:r w:rsidRPr="00BF7DA9">
        <w:rPr>
          <w:rFonts w:ascii="Verdana" w:eastAsia="SimHei" w:hAnsi="Verdana" w:cs="Times New Roman"/>
          <w:sz w:val="20"/>
          <w:szCs w:val="20"/>
          <w:u w:val="single"/>
        </w:rPr>
        <w:t xml:space="preserve">Ana Carolina </w:t>
      </w:r>
      <w:proofErr w:type="spellStart"/>
      <w:r w:rsidRPr="00BF7DA9">
        <w:rPr>
          <w:rFonts w:ascii="Verdana" w:eastAsia="SimHei" w:hAnsi="Verdana" w:cs="Times New Roman"/>
          <w:sz w:val="20"/>
          <w:szCs w:val="20"/>
          <w:u w:val="single"/>
        </w:rPr>
        <w:t>Kozlowski</w:t>
      </w:r>
      <w:proofErr w:type="spellEnd"/>
      <w:r w:rsidRPr="00BF7DA9">
        <w:rPr>
          <w:rFonts w:ascii="Verdana" w:eastAsia="SimHei" w:hAnsi="Verdana" w:cs="Times New Roman"/>
          <w:sz w:val="20"/>
          <w:szCs w:val="20"/>
          <w:u w:val="single"/>
        </w:rPr>
        <w:t xml:space="preserve"> Cordeiro Garcia</w:t>
      </w:r>
      <w:r w:rsidR="00BF7DA9">
        <w:rPr>
          <w:rStyle w:val="Refdenotaderodap"/>
          <w:rFonts w:ascii="Verdana" w:eastAsia="SimHei" w:hAnsi="Verdana" w:cs="Times New Roman"/>
          <w:sz w:val="20"/>
          <w:szCs w:val="20"/>
        </w:rPr>
        <w:footnoteReference w:id="3"/>
      </w:r>
      <w:r>
        <w:rPr>
          <w:rFonts w:ascii="Verdana" w:eastAsia="SimHei" w:hAnsi="Verdana" w:cs="Times New Roman"/>
          <w:sz w:val="20"/>
          <w:szCs w:val="20"/>
        </w:rPr>
        <w:t xml:space="preserve">, </w:t>
      </w:r>
      <w:proofErr w:type="spellStart"/>
      <w:r>
        <w:rPr>
          <w:rFonts w:ascii="Verdana" w:eastAsia="SimHei" w:hAnsi="Verdana" w:cs="Times New Roman"/>
          <w:sz w:val="20"/>
          <w:szCs w:val="20"/>
        </w:rPr>
        <w:t>Dâmarys</w:t>
      </w:r>
      <w:proofErr w:type="spellEnd"/>
      <w:r>
        <w:rPr>
          <w:rFonts w:ascii="Verdana" w:eastAsia="SimHei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SimHei" w:hAnsi="Verdana" w:cs="Times New Roman"/>
          <w:sz w:val="20"/>
          <w:szCs w:val="20"/>
        </w:rPr>
        <w:t>Kohlbeck</w:t>
      </w:r>
      <w:proofErr w:type="spellEnd"/>
      <w:r>
        <w:rPr>
          <w:rFonts w:ascii="Verdana" w:eastAsia="SimHei" w:hAnsi="Verdana" w:cs="Times New Roman"/>
          <w:sz w:val="20"/>
          <w:szCs w:val="20"/>
        </w:rPr>
        <w:t xml:space="preserve"> de Melo </w:t>
      </w:r>
      <w:proofErr w:type="spellStart"/>
      <w:r>
        <w:rPr>
          <w:rFonts w:ascii="Verdana" w:eastAsia="SimHei" w:hAnsi="Verdana" w:cs="Times New Roman"/>
          <w:sz w:val="20"/>
          <w:szCs w:val="20"/>
        </w:rPr>
        <w:t>Neu</w:t>
      </w:r>
      <w:proofErr w:type="spellEnd"/>
      <w:r>
        <w:rPr>
          <w:rFonts w:ascii="Verdana" w:eastAsia="SimHei" w:hAnsi="Verdana" w:cs="Times New Roman"/>
          <w:sz w:val="20"/>
          <w:szCs w:val="20"/>
        </w:rPr>
        <w:t xml:space="preserve"> Ribeiro</w:t>
      </w:r>
      <w:r w:rsidR="00BF7DA9">
        <w:rPr>
          <w:rStyle w:val="Refdenotaderodap"/>
          <w:rFonts w:ascii="Verdana" w:eastAsia="SimHei" w:hAnsi="Verdana" w:cs="Times New Roman"/>
          <w:sz w:val="20"/>
          <w:szCs w:val="20"/>
        </w:rPr>
        <w:footnoteReference w:id="4"/>
      </w:r>
      <w:r>
        <w:rPr>
          <w:rFonts w:ascii="Verdana" w:eastAsia="SimHei" w:hAnsi="Verdana" w:cs="Times New Roman"/>
          <w:sz w:val="20"/>
          <w:szCs w:val="20"/>
        </w:rPr>
        <w:t xml:space="preserve">, Larissa </w:t>
      </w:r>
      <w:proofErr w:type="spellStart"/>
      <w:r>
        <w:rPr>
          <w:rFonts w:ascii="Verdana" w:eastAsia="SimHei" w:hAnsi="Verdana" w:cs="Times New Roman"/>
          <w:sz w:val="20"/>
          <w:szCs w:val="20"/>
        </w:rPr>
        <w:t>Sayuri</w:t>
      </w:r>
      <w:proofErr w:type="spellEnd"/>
      <w:r>
        <w:rPr>
          <w:rFonts w:ascii="Verdana" w:eastAsia="SimHei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SimHei" w:hAnsi="Verdana" w:cs="Times New Roman"/>
          <w:sz w:val="20"/>
          <w:szCs w:val="20"/>
        </w:rPr>
        <w:t>Setoguchi</w:t>
      </w:r>
      <w:proofErr w:type="spellEnd"/>
      <w:r w:rsidR="004F2183">
        <w:rPr>
          <w:rStyle w:val="Refdenotaderodap"/>
          <w:rFonts w:ascii="Verdana" w:eastAsia="SimHei" w:hAnsi="Verdana" w:cs="Times New Roman"/>
          <w:sz w:val="20"/>
          <w:szCs w:val="20"/>
        </w:rPr>
        <w:footnoteReference w:id="5"/>
      </w:r>
      <w:r>
        <w:rPr>
          <w:rFonts w:ascii="Verdana" w:eastAsia="SimHei" w:hAnsi="Verdana" w:cs="Times New Roman"/>
          <w:sz w:val="20"/>
          <w:szCs w:val="20"/>
        </w:rPr>
        <w:t>, Renata Gonçalves Pinheiro Corrêa</w:t>
      </w:r>
      <w:r w:rsidR="004F2183">
        <w:rPr>
          <w:rStyle w:val="Refdenotaderodap"/>
          <w:rFonts w:ascii="Verdana" w:eastAsia="SimHei" w:hAnsi="Verdana" w:cs="Times New Roman"/>
          <w:sz w:val="20"/>
          <w:szCs w:val="20"/>
        </w:rPr>
        <w:footnoteReference w:id="6"/>
      </w:r>
      <w:r>
        <w:rPr>
          <w:rFonts w:ascii="Verdana" w:eastAsia="SimHei" w:hAnsi="Verdana" w:cs="Times New Roman"/>
          <w:sz w:val="20"/>
          <w:szCs w:val="20"/>
        </w:rPr>
        <w:t>.</w:t>
      </w:r>
    </w:p>
    <w:p w:rsidR="009336F2" w:rsidRDefault="009336F2" w:rsidP="009336F2">
      <w:pPr>
        <w:spacing w:after="0" w:line="480" w:lineRule="auto"/>
        <w:jc w:val="both"/>
        <w:rPr>
          <w:rFonts w:ascii="Verdana" w:eastAsia="SimHei" w:hAnsi="Verdana" w:cs="Times New Roman"/>
          <w:b/>
          <w:sz w:val="20"/>
          <w:szCs w:val="20"/>
        </w:rPr>
      </w:pPr>
    </w:p>
    <w:p w:rsidR="009336F2" w:rsidRPr="00DF67B4" w:rsidRDefault="009336F2" w:rsidP="009336F2">
      <w:pPr>
        <w:spacing w:after="0" w:line="480" w:lineRule="auto"/>
        <w:jc w:val="both"/>
        <w:rPr>
          <w:rFonts w:ascii="Verdana" w:eastAsia="SimHei" w:hAnsi="Verdana" w:cs="Times New Roman"/>
          <w:b/>
          <w:sz w:val="20"/>
          <w:szCs w:val="20"/>
        </w:rPr>
      </w:pPr>
      <w:r w:rsidRPr="00DF67B4">
        <w:rPr>
          <w:rFonts w:ascii="Verdana" w:eastAsia="SimHei" w:hAnsi="Verdana" w:cs="Times New Roman"/>
          <w:b/>
          <w:sz w:val="20"/>
          <w:szCs w:val="20"/>
        </w:rPr>
        <w:t>RESUMO</w:t>
      </w:r>
    </w:p>
    <w:p w:rsidR="009336F2" w:rsidRDefault="009336F2" w:rsidP="009336F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1B4AF6">
        <w:rPr>
          <w:rStyle w:val="apple-converted-space"/>
          <w:rFonts w:ascii="Verdana" w:hAnsi="Verdana" w:cs="Times New Roman"/>
          <w:b/>
          <w:bCs/>
          <w:sz w:val="20"/>
          <w:szCs w:val="20"/>
          <w:shd w:val="clear" w:color="auto" w:fill="FFFFFF"/>
        </w:rPr>
        <w:t>Objetivo</w:t>
      </w:r>
      <w:r w:rsidRPr="001B4AF6"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 xml:space="preserve">: analisar a relação entre </w:t>
      </w:r>
      <w:r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 xml:space="preserve">a </w:t>
      </w:r>
      <w:r w:rsidRPr="001B4AF6"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 xml:space="preserve">força de preensão manual e </w:t>
      </w:r>
      <w:r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 xml:space="preserve">a </w:t>
      </w:r>
      <w:r w:rsidRPr="001B4AF6"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 xml:space="preserve">medida de independência funcional de idosos longevos. </w:t>
      </w:r>
      <w:r w:rsidRPr="001B4AF6">
        <w:rPr>
          <w:rStyle w:val="apple-converted-space"/>
          <w:rFonts w:ascii="Verdana" w:hAnsi="Verdana" w:cs="Times New Roman"/>
          <w:b/>
          <w:bCs/>
          <w:sz w:val="20"/>
          <w:szCs w:val="20"/>
          <w:shd w:val="clear" w:color="auto" w:fill="FFFFFF"/>
        </w:rPr>
        <w:t>Método</w:t>
      </w:r>
      <w:r w:rsidRPr="001B4AF6"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 xml:space="preserve">: estudo </w:t>
      </w:r>
      <w:r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 xml:space="preserve">quantitativo </w:t>
      </w:r>
      <w:r w:rsidRPr="001B4AF6"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>transversal</w:t>
      </w:r>
      <w:r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 xml:space="preserve"> </w:t>
      </w:r>
      <w:r w:rsidRPr="001B4AF6"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>desenvolvido com 72 longevos</w:t>
      </w:r>
      <w:r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 xml:space="preserve"> da atenção primária, </w:t>
      </w:r>
      <w:r w:rsidRPr="001B4AF6"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 xml:space="preserve">de Curitiba/PR (Brasil). </w:t>
      </w:r>
      <w:r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 xml:space="preserve">Realizaram-se </w:t>
      </w:r>
      <w:r w:rsidRPr="001B4AF6"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>análises descritiva</w:t>
      </w:r>
      <w:r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>s</w:t>
      </w:r>
      <w:r w:rsidRPr="001B4AF6"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 xml:space="preserve"> e de associação entre variáveis, valores de </w:t>
      </w:r>
      <w:r w:rsidRPr="001B4AF6">
        <w:rPr>
          <w:rStyle w:val="apple-converted-space"/>
          <w:rFonts w:ascii="Verdana" w:hAnsi="Verdana" w:cs="Times New Roman"/>
          <w:bCs/>
          <w:i/>
          <w:sz w:val="20"/>
          <w:szCs w:val="20"/>
          <w:shd w:val="clear" w:color="auto" w:fill="FFFFFF"/>
        </w:rPr>
        <w:t>p</w:t>
      </w:r>
      <w:r w:rsidRPr="001B4AF6"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 xml:space="preserve">≤0,05 foram considerados estatisticamente significativos. </w:t>
      </w:r>
      <w:r w:rsidRPr="001B4AF6">
        <w:rPr>
          <w:rStyle w:val="apple-converted-space"/>
          <w:rFonts w:ascii="Verdana" w:hAnsi="Verdana" w:cs="Times New Roman"/>
          <w:b/>
          <w:bCs/>
          <w:sz w:val="20"/>
          <w:szCs w:val="20"/>
          <w:shd w:val="clear" w:color="auto" w:fill="FFFFFF"/>
        </w:rPr>
        <w:t>Resultados</w:t>
      </w:r>
      <w:r w:rsidRPr="001B4AF6"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 xml:space="preserve">: dos investigados, 51 (70,8%) foram classificados na </w:t>
      </w:r>
      <w:r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>m</w:t>
      </w:r>
      <w:r w:rsidRPr="001B4AF6"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 xml:space="preserve">edida de </w:t>
      </w:r>
      <w:r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>i</w:t>
      </w:r>
      <w:r w:rsidRPr="001B4AF6"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 xml:space="preserve">ndependência </w:t>
      </w:r>
      <w:r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>f</w:t>
      </w:r>
      <w:r w:rsidRPr="001B4AF6"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 xml:space="preserve">uncional como independentes, 21 (29,2%) moderadamente dependentes e </w:t>
      </w:r>
      <w:r w:rsidRPr="001B4AF6">
        <w:rPr>
          <w:rFonts w:ascii="Verdana" w:hAnsi="Verdana" w:cs="Times New Roman"/>
          <w:sz w:val="20"/>
          <w:szCs w:val="20"/>
        </w:rPr>
        <w:t>20 (27,8%)</w:t>
      </w:r>
      <w:r w:rsidRPr="001B4AF6"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 xml:space="preserve"> apresentaram redução da </w:t>
      </w:r>
      <w:r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>f</w:t>
      </w:r>
      <w:r w:rsidRPr="001B4AF6"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 xml:space="preserve">orça de </w:t>
      </w:r>
      <w:r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>p</w:t>
      </w:r>
      <w:r w:rsidRPr="001B4AF6"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 xml:space="preserve">reensão </w:t>
      </w:r>
      <w:r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>m</w:t>
      </w:r>
      <w:r w:rsidRPr="001B4AF6"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 xml:space="preserve">anual. Houve associação estatisticamente significativa entre </w:t>
      </w:r>
      <w:r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>a f</w:t>
      </w:r>
      <w:r w:rsidRPr="001B4AF6"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 xml:space="preserve">orça de </w:t>
      </w:r>
      <w:r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>p</w:t>
      </w:r>
      <w:r w:rsidRPr="001B4AF6"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 xml:space="preserve">reensão </w:t>
      </w:r>
      <w:r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>m</w:t>
      </w:r>
      <w:r w:rsidRPr="001B4AF6"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 xml:space="preserve">anual e </w:t>
      </w:r>
      <w:r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>a m</w:t>
      </w:r>
      <w:r w:rsidRPr="001B4AF6"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 xml:space="preserve">edida de </w:t>
      </w:r>
      <w:r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>i</w:t>
      </w:r>
      <w:r w:rsidRPr="001B4AF6"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 xml:space="preserve">ndependência </w:t>
      </w:r>
      <w:r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>f</w:t>
      </w:r>
      <w:r w:rsidRPr="001B4AF6"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>uncional cognitiva (</w:t>
      </w:r>
      <w:r w:rsidRPr="001B4AF6">
        <w:rPr>
          <w:rStyle w:val="apple-converted-space"/>
          <w:rFonts w:ascii="Verdana" w:hAnsi="Verdana" w:cs="Times New Roman"/>
          <w:bCs/>
          <w:i/>
          <w:sz w:val="20"/>
          <w:szCs w:val="20"/>
          <w:shd w:val="clear" w:color="auto" w:fill="FFFFFF"/>
        </w:rPr>
        <w:t>p</w:t>
      </w:r>
      <w:r w:rsidRPr="001B4AF6"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 xml:space="preserve">=0,026). </w:t>
      </w:r>
      <w:r w:rsidRPr="00E97478">
        <w:rPr>
          <w:rStyle w:val="apple-converted-space"/>
          <w:rFonts w:ascii="Verdana" w:hAnsi="Verdana" w:cs="Times New Roman"/>
          <w:b/>
          <w:bCs/>
          <w:sz w:val="20"/>
          <w:szCs w:val="20"/>
          <w:shd w:val="clear" w:color="auto" w:fill="FFFFFF"/>
        </w:rPr>
        <w:t>Discussão:</w:t>
      </w:r>
      <w:r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 xml:space="preserve"> </w:t>
      </w:r>
      <w:r w:rsidRPr="001B4AF6"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 xml:space="preserve">são fundamentais os cuidados </w:t>
      </w:r>
      <w:proofErr w:type="spellStart"/>
      <w:r w:rsidRPr="001B4AF6"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>gerontológicos</w:t>
      </w:r>
      <w:proofErr w:type="spellEnd"/>
      <w:r w:rsidRPr="001B4AF6"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 xml:space="preserve"> relacionados à prática de atividade física e participação em oficinas de estimulação cognitiva, adaptados à escolaridade dos longevos.</w:t>
      </w:r>
      <w:r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 xml:space="preserve"> </w:t>
      </w:r>
      <w:r w:rsidRPr="001B4AF6">
        <w:rPr>
          <w:rStyle w:val="apple-converted-space"/>
          <w:rFonts w:ascii="Verdana" w:hAnsi="Verdana" w:cs="Times New Roman"/>
          <w:b/>
          <w:bCs/>
          <w:sz w:val="20"/>
          <w:szCs w:val="20"/>
          <w:shd w:val="clear" w:color="auto" w:fill="FFFFFF"/>
        </w:rPr>
        <w:t>Conclusão</w:t>
      </w:r>
      <w:r w:rsidRPr="001B4AF6"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 xml:space="preserve">: </w:t>
      </w:r>
      <w:r>
        <w:rPr>
          <w:rFonts w:ascii="Verdana" w:hAnsi="Verdana" w:cs="Times New Roman"/>
          <w:sz w:val="20"/>
          <w:szCs w:val="20"/>
        </w:rPr>
        <w:t>Diante da associação entre a funcionalidade e a força de preensão manual, r</w:t>
      </w:r>
      <w:r w:rsidRPr="001B4AF6">
        <w:rPr>
          <w:rFonts w:ascii="Verdana" w:hAnsi="Verdana" w:cs="Times New Roman"/>
          <w:sz w:val="20"/>
          <w:szCs w:val="20"/>
        </w:rPr>
        <w:t xml:space="preserve">ecomenda-se adotar </w:t>
      </w:r>
      <w:r>
        <w:rPr>
          <w:rFonts w:ascii="Verdana" w:hAnsi="Verdana" w:cs="Times New Roman"/>
          <w:sz w:val="20"/>
          <w:szCs w:val="20"/>
        </w:rPr>
        <w:t xml:space="preserve">a avaliação desses aspectos dos longevos </w:t>
      </w:r>
      <w:r w:rsidRPr="001B4AF6">
        <w:rPr>
          <w:rFonts w:ascii="Verdana" w:hAnsi="Verdana" w:cs="Times New Roman"/>
          <w:sz w:val="20"/>
          <w:szCs w:val="20"/>
        </w:rPr>
        <w:t>na consulta de enfermagem, em diferentes contextos de atendimento.</w:t>
      </w:r>
    </w:p>
    <w:p w:rsidR="009336F2" w:rsidRDefault="009336F2" w:rsidP="009336F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9336F2" w:rsidRPr="001B4AF6" w:rsidRDefault="009336F2" w:rsidP="009336F2">
      <w:pPr>
        <w:spacing w:after="0" w:line="240" w:lineRule="auto"/>
        <w:jc w:val="both"/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</w:pPr>
    </w:p>
    <w:p w:rsidR="009336F2" w:rsidRDefault="009336F2" w:rsidP="009336F2">
      <w:pPr>
        <w:spacing w:after="0" w:line="480" w:lineRule="auto"/>
        <w:jc w:val="both"/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</w:pPr>
      <w:r w:rsidRPr="001B4AF6">
        <w:rPr>
          <w:rStyle w:val="apple-converted-space"/>
          <w:rFonts w:ascii="Verdana" w:hAnsi="Verdana" w:cs="Times New Roman"/>
          <w:b/>
          <w:bCs/>
          <w:sz w:val="20"/>
          <w:szCs w:val="20"/>
          <w:shd w:val="clear" w:color="auto" w:fill="FFFFFF"/>
        </w:rPr>
        <w:t>DESCRITOR</w:t>
      </w:r>
      <w:r w:rsidRPr="001B4AF6"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>: Força da mão; Enfermagem geriátrica; Idoso de 80 anos ou mais</w:t>
      </w:r>
      <w:r>
        <w:rPr>
          <w:rStyle w:val="apple-converted-space"/>
          <w:rFonts w:ascii="Verdana" w:hAnsi="Verdana" w:cs="Times New Roman"/>
          <w:bCs/>
          <w:sz w:val="20"/>
          <w:szCs w:val="20"/>
          <w:shd w:val="clear" w:color="auto" w:fill="FFFFFF"/>
        </w:rPr>
        <w:t>; Atividades cotidianas; Centros de saúde.</w:t>
      </w:r>
    </w:p>
    <w:p w:rsidR="00023646" w:rsidRDefault="00023646"/>
    <w:sectPr w:rsidR="00023646" w:rsidSect="000236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C74" w:rsidRDefault="008C2C74" w:rsidP="009336F2">
      <w:pPr>
        <w:spacing w:after="0" w:line="240" w:lineRule="auto"/>
      </w:pPr>
      <w:r>
        <w:separator/>
      </w:r>
    </w:p>
  </w:endnote>
  <w:endnote w:type="continuationSeparator" w:id="0">
    <w:p w:rsidR="008C2C74" w:rsidRDefault="008C2C74" w:rsidP="0093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C74" w:rsidRDefault="008C2C74" w:rsidP="009336F2">
      <w:pPr>
        <w:spacing w:after="0" w:line="240" w:lineRule="auto"/>
      </w:pPr>
      <w:r>
        <w:separator/>
      </w:r>
    </w:p>
  </w:footnote>
  <w:footnote w:type="continuationSeparator" w:id="0">
    <w:p w:rsidR="008C2C74" w:rsidRDefault="008C2C74" w:rsidP="009336F2">
      <w:pPr>
        <w:spacing w:after="0" w:line="240" w:lineRule="auto"/>
      </w:pPr>
      <w:r>
        <w:continuationSeparator/>
      </w:r>
    </w:p>
  </w:footnote>
  <w:footnote w:id="1">
    <w:p w:rsidR="009336F2" w:rsidRPr="004F2183" w:rsidRDefault="009336F2" w:rsidP="004F2183">
      <w:pPr>
        <w:pStyle w:val="Textodenotaderodap"/>
        <w:jc w:val="both"/>
        <w:rPr>
          <w:rFonts w:ascii="Verdana" w:hAnsi="Verdana"/>
          <w:sz w:val="18"/>
          <w:szCs w:val="18"/>
        </w:rPr>
      </w:pPr>
      <w:r w:rsidRPr="004F2183">
        <w:rPr>
          <w:rStyle w:val="Refdenotaderodap"/>
          <w:rFonts w:ascii="Verdana" w:hAnsi="Verdana"/>
          <w:sz w:val="18"/>
          <w:szCs w:val="18"/>
        </w:rPr>
        <w:footnoteRef/>
      </w:r>
      <w:r w:rsidRPr="004F2183">
        <w:rPr>
          <w:rFonts w:ascii="Verdana" w:hAnsi="Verdana"/>
          <w:sz w:val="18"/>
          <w:szCs w:val="18"/>
        </w:rPr>
        <w:t xml:space="preserve"> Enfermeira. Doutora em Filosofia. Professora Sênior do Programa de Pós-Graduação em Enfermagem da Universidade Federal do Paraná (PPGENF - UFPR). Líder do Grupo Multiprofissional de Pesquisa sobre Idosos (GMPI). Curitiba, Paraná, Brasil. </w:t>
      </w:r>
    </w:p>
  </w:footnote>
  <w:footnote w:id="2">
    <w:p w:rsidR="009336F2" w:rsidRPr="004F2183" w:rsidRDefault="009336F2" w:rsidP="004F2183">
      <w:pPr>
        <w:pStyle w:val="Textodenotaderodap"/>
        <w:jc w:val="both"/>
        <w:rPr>
          <w:rFonts w:ascii="Verdana" w:hAnsi="Verdana"/>
          <w:sz w:val="18"/>
          <w:szCs w:val="18"/>
        </w:rPr>
      </w:pPr>
      <w:r w:rsidRPr="004F2183">
        <w:rPr>
          <w:rStyle w:val="Refdenotaderodap"/>
          <w:rFonts w:ascii="Verdana" w:hAnsi="Verdana"/>
          <w:sz w:val="18"/>
          <w:szCs w:val="18"/>
        </w:rPr>
        <w:footnoteRef/>
      </w:r>
      <w:r w:rsidRPr="004F2183">
        <w:rPr>
          <w:rFonts w:ascii="Verdana" w:hAnsi="Verdana"/>
          <w:sz w:val="18"/>
          <w:szCs w:val="18"/>
        </w:rPr>
        <w:t xml:space="preserve"> Enfermeira. Doutora em Enfermagem. Professora Adjunto do Departamento de Enfermagem da UFPR. Vice-líder do GMPI. Curitiba, Paraná, Brasil.</w:t>
      </w:r>
    </w:p>
  </w:footnote>
  <w:footnote w:id="3">
    <w:p w:rsidR="00BF7DA9" w:rsidRPr="004F2183" w:rsidRDefault="00BF7DA9" w:rsidP="004F2183">
      <w:pPr>
        <w:pStyle w:val="Textodenotaderodap"/>
        <w:jc w:val="both"/>
        <w:rPr>
          <w:rFonts w:ascii="Verdana" w:hAnsi="Verdana"/>
          <w:sz w:val="18"/>
          <w:szCs w:val="18"/>
        </w:rPr>
      </w:pPr>
      <w:r w:rsidRPr="004F2183">
        <w:rPr>
          <w:rStyle w:val="Refdenotaderodap"/>
          <w:rFonts w:ascii="Verdana" w:hAnsi="Verdana"/>
          <w:sz w:val="18"/>
          <w:szCs w:val="18"/>
        </w:rPr>
        <w:footnoteRef/>
      </w:r>
      <w:r w:rsidRPr="004F2183">
        <w:rPr>
          <w:rFonts w:ascii="Verdana" w:hAnsi="Verdana"/>
          <w:sz w:val="18"/>
          <w:szCs w:val="18"/>
        </w:rPr>
        <w:t xml:space="preserve"> Enfermeira. Servidora Pública do Estado do Paraná - Secretaria Estadual de Segurança Pública. Membro do GMPI. Curitiba, Paraná, Brasil. Autor correspondente. E-mail: anagarciaenf@gmail.com </w:t>
      </w:r>
    </w:p>
  </w:footnote>
  <w:footnote w:id="4">
    <w:p w:rsidR="00BF7DA9" w:rsidRPr="004F2183" w:rsidRDefault="00BF7DA9" w:rsidP="004F2183">
      <w:pPr>
        <w:pStyle w:val="Textodenotaderodap"/>
        <w:jc w:val="both"/>
        <w:rPr>
          <w:rFonts w:ascii="Verdana" w:hAnsi="Verdana"/>
          <w:sz w:val="18"/>
          <w:szCs w:val="18"/>
        </w:rPr>
      </w:pPr>
      <w:r w:rsidRPr="004F2183">
        <w:rPr>
          <w:rStyle w:val="Refdenotaderodap"/>
          <w:rFonts w:ascii="Verdana" w:hAnsi="Verdana"/>
          <w:sz w:val="18"/>
          <w:szCs w:val="18"/>
        </w:rPr>
        <w:footnoteRef/>
      </w:r>
      <w:r w:rsidRPr="004F2183">
        <w:rPr>
          <w:rFonts w:ascii="Verdana" w:hAnsi="Verdana"/>
          <w:sz w:val="18"/>
          <w:szCs w:val="18"/>
        </w:rPr>
        <w:t xml:space="preserve"> Enfermeira. Doutora em Enfermagem. Servidora Pública Municipal de Araucária - Paraná. Membro do GMPI. Curitiba, Paraná, Brasil.</w:t>
      </w:r>
    </w:p>
  </w:footnote>
  <w:footnote w:id="5">
    <w:p w:rsidR="004F2183" w:rsidRPr="004F2183" w:rsidRDefault="004F2183" w:rsidP="004F2183">
      <w:pPr>
        <w:pStyle w:val="Textodenotaderodap"/>
        <w:jc w:val="both"/>
        <w:rPr>
          <w:rFonts w:ascii="Verdana" w:hAnsi="Verdana"/>
          <w:sz w:val="18"/>
          <w:szCs w:val="18"/>
        </w:rPr>
      </w:pPr>
      <w:r w:rsidRPr="004F2183">
        <w:rPr>
          <w:rStyle w:val="Refdenotaderodap"/>
          <w:rFonts w:ascii="Verdana" w:hAnsi="Verdana"/>
          <w:sz w:val="18"/>
          <w:szCs w:val="18"/>
        </w:rPr>
        <w:footnoteRef/>
      </w:r>
      <w:r w:rsidRPr="004F2183">
        <w:rPr>
          <w:rFonts w:ascii="Verdana" w:hAnsi="Verdana"/>
          <w:sz w:val="18"/>
          <w:szCs w:val="18"/>
        </w:rPr>
        <w:t xml:space="preserve"> Enfermeira</w:t>
      </w:r>
      <w:r w:rsidRPr="000F65C9">
        <w:rPr>
          <w:rFonts w:ascii="Verdana" w:hAnsi="Verdana"/>
          <w:sz w:val="18"/>
          <w:szCs w:val="18"/>
        </w:rPr>
        <w:t>. Especialista em Saúde da Família. Mestranda</w:t>
      </w:r>
      <w:r w:rsidRPr="004F2183">
        <w:rPr>
          <w:rFonts w:ascii="Verdana" w:hAnsi="Verdana"/>
          <w:sz w:val="18"/>
          <w:szCs w:val="18"/>
        </w:rPr>
        <w:t xml:space="preserve"> no PPGENF - UFPR. Membro do GMPI. Curitiba, Paraná, Brasil.</w:t>
      </w:r>
    </w:p>
  </w:footnote>
  <w:footnote w:id="6">
    <w:p w:rsidR="004F2183" w:rsidRDefault="004F2183" w:rsidP="004F2183">
      <w:pPr>
        <w:pStyle w:val="Textodenotaderodap"/>
        <w:jc w:val="both"/>
      </w:pPr>
      <w:r w:rsidRPr="004F2183">
        <w:rPr>
          <w:rStyle w:val="Refdenotaderodap"/>
          <w:rFonts w:ascii="Verdana" w:hAnsi="Verdana"/>
          <w:sz w:val="18"/>
          <w:szCs w:val="18"/>
        </w:rPr>
        <w:footnoteRef/>
      </w:r>
      <w:r w:rsidRPr="004F2183">
        <w:rPr>
          <w:rFonts w:ascii="Verdana" w:hAnsi="Verdana"/>
          <w:sz w:val="18"/>
          <w:szCs w:val="18"/>
        </w:rPr>
        <w:t xml:space="preserve"> Enfermeira. Fisioterapeuta. Mestre em Bioengenharia. Professora substituta do Departamento de Enfermagem da UFPR.  Membro do GMPI. Curitiba, Paraná, Brasil.</w:t>
      </w:r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6F2"/>
    <w:rsid w:val="00023646"/>
    <w:rsid w:val="000F65C9"/>
    <w:rsid w:val="004F2183"/>
    <w:rsid w:val="008C2C74"/>
    <w:rsid w:val="009336F2"/>
    <w:rsid w:val="009B2D27"/>
    <w:rsid w:val="00BF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6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336F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336F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336F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336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4B290-01A9-49BC-A1C2-402A2BD3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1295</Characters>
  <Application>Microsoft Office Word</Application>
  <DocSecurity>0</DocSecurity>
  <Lines>10</Lines>
  <Paragraphs>3</Paragraphs>
  <ScaleCrop>false</ScaleCrop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Susanne</cp:lastModifiedBy>
  <cp:revision>6</cp:revision>
  <dcterms:created xsi:type="dcterms:W3CDTF">2017-09-21T17:10:00Z</dcterms:created>
  <dcterms:modified xsi:type="dcterms:W3CDTF">2017-09-21T18:27:00Z</dcterms:modified>
</cp:coreProperties>
</file>